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EE" w:rsidRDefault="004375EE" w:rsidP="004375E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4375EE">
        <w:rPr>
          <w:rFonts w:ascii="Arial Black" w:hAnsi="Arial Black" w:cs="Arial"/>
          <w:sz w:val="36"/>
          <w:szCs w:val="36"/>
        </w:rPr>
        <w:t>Одиноки ли мы во Вселенной?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4375EE" w:rsidRDefault="004375EE" w:rsidP="004375E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375EE" w:rsidRDefault="004375EE" w:rsidP="004375EE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21BE3" w:rsidRDefault="00F21BE3"/>
    <w:p w:rsidR="004375EE" w:rsidRPr="004375EE" w:rsidRDefault="004375EE" w:rsidP="0043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352"/>
        <w:gridCol w:w="1760"/>
        <w:gridCol w:w="1935"/>
        <w:gridCol w:w="1604"/>
        <w:gridCol w:w="1788"/>
      </w:tblGrid>
      <w:tr w:rsidR="004375EE" w:rsidRPr="004375EE" w:rsidTr="004375EE">
        <w:trPr>
          <w:tblHeader/>
          <w:tblCellSpacing w:w="15" w:type="dxa"/>
        </w:trPr>
        <w:tc>
          <w:tcPr>
            <w:tcW w:w="15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3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учеников.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вызов.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опрос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Перекличка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поведением учащихся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Вспоминание предыдущей темы урока.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вопросы учителя.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диалог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Реакция на вопросы, ответы в классе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 урока, озвучивание целей и задач.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прослушивание.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презентация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интерактивная доска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учащихся во время вступительного слова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Ранние идеи существования внеземного разума: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мифов и легенд о внеземных цивилизациях.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текстов и видеоматериалов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Учебники, статьи, видеоматериалы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Качество участия в обсуждениях, записи в тетради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взглядов античных философов на эту тему.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аргументов для обсуждения.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2. Биологические теории возникновения жизни: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Изучение основных гипотез о происхождении жизни.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Учебники, презентации, интерактивная доска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учеников в обсуждении, понимание материала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возможных механизмов распространения жизни во Вселенной.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перспектив жизни в космосе.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3. Уникальность условий Земли для зарождения и развития жизни: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Анализ факторов, делающих Землю подходящей для </w:t>
            </w: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существования жизни.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Исследовательская деятельность, обсуждение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Учебники, презентации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Качество обсуждения факторов, выводы учащихся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возможности существования аналогичных условий на других планетах.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Рефлексия над преимуществами и недостатками условий жизни на Земле.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4. Перспективы развития идей о внеземном разуме и заселении других планет: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Обзор современных теорий о внеземном разуме.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Учебники, статьи, презентации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Качество вопросов учащихся, активность в обсуждении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планов и проектов по исследованию других планет и поиску сигналов от внеземных цивилизаций.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перспектив колонизации других планет.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5. Методы поиска планет, населенных разумной жизнью: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Анализ различных методов поиска экзопланет и признаков жизни на них.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данных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Учебники, статьи, видеоматериалы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учеников в обсуждении, понимание материала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данных, полученных с помощью космических телескопов и миссий.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Рефлексия над эффективностью методов поиска жизни в космосе.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Самооценка и обсуждение пройденного материала.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Рефлексия собственного понимания темы.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самооценка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Тетради, обратная связь учителя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Реакция учеников на задаваемые вопросы, понимание темы</w:t>
            </w:r>
          </w:p>
        </w:tc>
      </w:tr>
      <w:tr w:rsidR="004375EE" w:rsidRPr="004375EE" w:rsidTr="004375EE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Подведение итогов урока, мотивация к самостоятельному изучению.</w:t>
            </w:r>
          </w:p>
        </w:tc>
        <w:tc>
          <w:tcPr>
            <w:tcW w:w="17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Получение задания на подготовку реферата.</w:t>
            </w:r>
          </w:p>
        </w:tc>
        <w:tc>
          <w:tcPr>
            <w:tcW w:w="19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Рефлексия, мотивация</w:t>
            </w:r>
          </w:p>
        </w:tc>
        <w:tc>
          <w:tcPr>
            <w:tcW w:w="157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обратная связь</w:t>
            </w:r>
          </w:p>
        </w:tc>
        <w:tc>
          <w:tcPr>
            <w:tcW w:w="17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4375EE" w:rsidRPr="004375EE" w:rsidRDefault="004375EE" w:rsidP="004375E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375E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Осознание значимости темы, активность в заданных заданиях</w:t>
            </w:r>
          </w:p>
        </w:tc>
      </w:tr>
    </w:tbl>
    <w:p w:rsidR="004375EE" w:rsidRDefault="004375EE" w:rsidP="002E35DB">
      <w:bookmarkStart w:id="0" w:name="_GoBack"/>
      <w:bookmarkEnd w:id="0"/>
    </w:p>
    <w:sectPr w:rsidR="004375EE" w:rsidSect="004375EE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E"/>
    <w:rsid w:val="002E35DB"/>
    <w:rsid w:val="004375EE"/>
    <w:rsid w:val="00F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8397"/>
  <w15:chartTrackingRefBased/>
  <w15:docId w15:val="{92CBB6DB-E21A-4CDF-9EDF-20277FA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5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2024-04-22T09:56:00Z</dcterms:created>
  <dcterms:modified xsi:type="dcterms:W3CDTF">2024-04-22T10:01:00Z</dcterms:modified>
</cp:coreProperties>
</file>